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324C4" w14:textId="0D566E91" w:rsidR="00A938B8" w:rsidRDefault="00A938B8" w:rsidP="00782653">
      <w:pPr>
        <w:jc w:val="both"/>
        <w:rPr>
          <w:rFonts w:cstheme="minorHAnsi"/>
          <w:b/>
          <w:bCs/>
          <w:sz w:val="28"/>
          <w:szCs w:val="28"/>
        </w:rPr>
      </w:pPr>
      <w:r w:rsidRPr="000D4CD7">
        <w:rPr>
          <w:rFonts w:cstheme="minorHAnsi"/>
          <w:b/>
          <w:bCs/>
          <w:sz w:val="28"/>
          <w:szCs w:val="28"/>
        </w:rPr>
        <w:t xml:space="preserve">The Rationale </w:t>
      </w:r>
      <w:r>
        <w:rPr>
          <w:rFonts w:cstheme="minorHAnsi"/>
          <w:b/>
          <w:bCs/>
          <w:sz w:val="28"/>
          <w:szCs w:val="28"/>
        </w:rPr>
        <w:t>B</w:t>
      </w:r>
      <w:r w:rsidRPr="000D4CD7">
        <w:rPr>
          <w:rFonts w:cstheme="minorHAnsi"/>
          <w:b/>
          <w:bCs/>
          <w:sz w:val="28"/>
          <w:szCs w:val="28"/>
        </w:rPr>
        <w:t xml:space="preserve">ehind Talking Specifically to Women </w:t>
      </w:r>
      <w:r>
        <w:rPr>
          <w:rFonts w:cstheme="minorHAnsi"/>
          <w:b/>
          <w:bCs/>
          <w:sz w:val="28"/>
          <w:szCs w:val="28"/>
        </w:rPr>
        <w:t>A</w:t>
      </w:r>
      <w:r w:rsidRPr="000D4CD7">
        <w:rPr>
          <w:rFonts w:cstheme="minorHAnsi"/>
          <w:b/>
          <w:bCs/>
          <w:sz w:val="28"/>
          <w:szCs w:val="28"/>
        </w:rPr>
        <w:t>bout Money</w:t>
      </w:r>
    </w:p>
    <w:p w14:paraId="47DC5CE2" w14:textId="0A98DB9C" w:rsidR="008B3D5E" w:rsidRDefault="008B3D5E" w:rsidP="000D4CD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Ilene Slatko</w:t>
      </w:r>
    </w:p>
    <w:p w14:paraId="7B7CF41D" w14:textId="0D8D2233" w:rsidR="008B3D5E" w:rsidRPr="000D4CD7" w:rsidRDefault="008B3D5E" w:rsidP="000D4CD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February 22, 2021</w:t>
      </w:r>
    </w:p>
    <w:p w14:paraId="79C38D0B" w14:textId="5E06DA7A" w:rsidR="00077723" w:rsidRDefault="00077723" w:rsidP="00782653">
      <w:pPr>
        <w:jc w:val="both"/>
        <w:rPr>
          <w:rFonts w:cstheme="minorHAnsi"/>
          <w:b/>
          <w:bCs/>
          <w:sz w:val="28"/>
          <w:szCs w:val="28"/>
        </w:rPr>
      </w:pPr>
    </w:p>
    <w:p w14:paraId="47F86159" w14:textId="54EDFF42" w:rsidR="00077723" w:rsidRDefault="0016407A" w:rsidP="00782653">
      <w:pPr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w:drawing>
          <wp:inline distT="0" distB="0" distL="0" distR="0" wp14:anchorId="49666A55" wp14:editId="4BA9B6FB">
            <wp:extent cx="3291840" cy="2194560"/>
            <wp:effectExtent l="0" t="0" r="3810" b="0"/>
            <wp:docPr id="1" name="Picture 1" descr="Women talking to each o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omen talking to each other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69329" w14:textId="77777777" w:rsidR="00A938B8" w:rsidRPr="000D4CD7" w:rsidRDefault="00A938B8" w:rsidP="00782653">
      <w:pPr>
        <w:jc w:val="both"/>
        <w:rPr>
          <w:rFonts w:cstheme="minorHAnsi"/>
          <w:b/>
          <w:bCs/>
          <w:sz w:val="28"/>
          <w:szCs w:val="28"/>
        </w:rPr>
      </w:pPr>
    </w:p>
    <w:p w14:paraId="0A9E374B" w14:textId="1AD6A26C" w:rsidR="00B44A2D" w:rsidRDefault="00E11DB1" w:rsidP="000D4CD7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Years ago, when I first authored my Women and Their Money program, </w:t>
      </w:r>
      <w:r w:rsidR="004C4D6B">
        <w:rPr>
          <w:rFonts w:cstheme="minorHAnsi"/>
          <w:sz w:val="24"/>
          <w:szCs w:val="24"/>
        </w:rPr>
        <w:t xml:space="preserve">women were </w:t>
      </w:r>
      <w:r w:rsidR="00FB2200">
        <w:rPr>
          <w:rFonts w:cstheme="minorHAnsi"/>
          <w:sz w:val="24"/>
          <w:szCs w:val="24"/>
        </w:rPr>
        <w:t xml:space="preserve">becoming </w:t>
      </w:r>
      <w:r w:rsidR="004C4D6B">
        <w:rPr>
          <w:rFonts w:cstheme="minorHAnsi"/>
          <w:sz w:val="24"/>
          <w:szCs w:val="24"/>
        </w:rPr>
        <w:t xml:space="preserve">empowered by </w:t>
      </w:r>
      <w:r w:rsidR="00CA02E5">
        <w:rPr>
          <w:rFonts w:cstheme="minorHAnsi"/>
          <w:sz w:val="24"/>
          <w:szCs w:val="24"/>
        </w:rPr>
        <w:t xml:space="preserve">then </w:t>
      </w:r>
      <w:r w:rsidR="00ED6C39">
        <w:rPr>
          <w:rFonts w:cstheme="minorHAnsi"/>
          <w:sz w:val="24"/>
          <w:szCs w:val="24"/>
        </w:rPr>
        <w:t xml:space="preserve">current </w:t>
      </w:r>
      <w:r w:rsidR="00214878">
        <w:rPr>
          <w:rFonts w:cstheme="minorHAnsi"/>
          <w:sz w:val="24"/>
          <w:szCs w:val="24"/>
        </w:rPr>
        <w:t xml:space="preserve">social </w:t>
      </w:r>
      <w:r w:rsidR="00B52866">
        <w:rPr>
          <w:rFonts w:cstheme="minorHAnsi"/>
          <w:sz w:val="24"/>
          <w:szCs w:val="24"/>
        </w:rPr>
        <w:t>mores</w:t>
      </w:r>
      <w:r w:rsidR="00FB2200">
        <w:rPr>
          <w:rFonts w:cstheme="minorHAnsi"/>
          <w:sz w:val="24"/>
          <w:szCs w:val="24"/>
        </w:rPr>
        <w:t xml:space="preserve"> to consider marrying later or staying single</w:t>
      </w:r>
      <w:r w:rsidR="00D75DCA">
        <w:rPr>
          <w:rFonts w:cstheme="minorHAnsi"/>
          <w:sz w:val="24"/>
          <w:szCs w:val="24"/>
        </w:rPr>
        <w:t xml:space="preserve"> as viable life choices. It made sense </w:t>
      </w:r>
      <w:r w:rsidR="001558B9">
        <w:rPr>
          <w:rFonts w:cstheme="minorHAnsi"/>
          <w:sz w:val="24"/>
          <w:szCs w:val="24"/>
        </w:rPr>
        <w:t>under those conditions that more women would seek to understand finances and investments</w:t>
      </w:r>
      <w:r w:rsidR="00D75DCA">
        <w:rPr>
          <w:rFonts w:cstheme="minorHAnsi"/>
          <w:sz w:val="24"/>
          <w:szCs w:val="24"/>
        </w:rPr>
        <w:t>.</w:t>
      </w:r>
      <w:r w:rsidR="00316F38">
        <w:rPr>
          <w:rFonts w:cstheme="minorHAnsi"/>
          <w:sz w:val="24"/>
          <w:szCs w:val="24"/>
        </w:rPr>
        <w:t xml:space="preserve"> </w:t>
      </w:r>
      <w:r w:rsidR="00CA02E5">
        <w:rPr>
          <w:rFonts w:cstheme="minorHAnsi"/>
          <w:sz w:val="24"/>
          <w:szCs w:val="24"/>
        </w:rPr>
        <w:t>Decades later,</w:t>
      </w:r>
      <w:r w:rsidR="00316F38">
        <w:rPr>
          <w:rFonts w:cstheme="minorHAnsi"/>
          <w:sz w:val="24"/>
          <w:szCs w:val="24"/>
        </w:rPr>
        <w:t xml:space="preserve"> despite broad advances in lifestyle </w:t>
      </w:r>
      <w:r w:rsidR="00987C86">
        <w:rPr>
          <w:rFonts w:cstheme="minorHAnsi"/>
          <w:sz w:val="24"/>
          <w:szCs w:val="24"/>
        </w:rPr>
        <w:t xml:space="preserve">and career opportunities, </w:t>
      </w:r>
      <w:r w:rsidR="005E7B67">
        <w:rPr>
          <w:rFonts w:cstheme="minorHAnsi"/>
          <w:sz w:val="24"/>
          <w:szCs w:val="24"/>
        </w:rPr>
        <w:t>a</w:t>
      </w:r>
      <w:r w:rsidR="00987C86">
        <w:rPr>
          <w:rFonts w:cstheme="minorHAnsi"/>
          <w:sz w:val="24"/>
          <w:szCs w:val="24"/>
        </w:rPr>
        <w:t xml:space="preserve"> majority of women still lack the requisite </w:t>
      </w:r>
      <w:r w:rsidR="00B0595D">
        <w:rPr>
          <w:rFonts w:cstheme="minorHAnsi"/>
          <w:sz w:val="24"/>
          <w:szCs w:val="24"/>
        </w:rPr>
        <w:t>confidence to comfortably</w:t>
      </w:r>
      <w:r w:rsidR="00987C86">
        <w:rPr>
          <w:rFonts w:cstheme="minorHAnsi"/>
          <w:sz w:val="24"/>
          <w:szCs w:val="24"/>
        </w:rPr>
        <w:t xml:space="preserve"> navigat</w:t>
      </w:r>
      <w:r w:rsidR="002D5F79">
        <w:rPr>
          <w:rFonts w:cstheme="minorHAnsi"/>
          <w:sz w:val="24"/>
          <w:szCs w:val="24"/>
        </w:rPr>
        <w:t>e</w:t>
      </w:r>
      <w:r w:rsidR="00987C86">
        <w:rPr>
          <w:rFonts w:cstheme="minorHAnsi"/>
          <w:sz w:val="24"/>
          <w:szCs w:val="24"/>
        </w:rPr>
        <w:t xml:space="preserve"> their </w:t>
      </w:r>
      <w:r w:rsidR="00B52866">
        <w:rPr>
          <w:rFonts w:cstheme="minorHAnsi"/>
          <w:sz w:val="24"/>
          <w:szCs w:val="24"/>
        </w:rPr>
        <w:t>investments</w:t>
      </w:r>
      <w:r w:rsidR="00987C86">
        <w:rPr>
          <w:rFonts w:cstheme="minorHAnsi"/>
          <w:sz w:val="24"/>
          <w:szCs w:val="24"/>
        </w:rPr>
        <w:t xml:space="preserve">. </w:t>
      </w:r>
    </w:p>
    <w:p w14:paraId="57292E68" w14:textId="07B9135F" w:rsidR="005B16B3" w:rsidRDefault="00B52866" w:rsidP="000D4CD7">
      <w:pPr>
        <w:spacing w:line="240" w:lineRule="auto"/>
        <w:jc w:val="both"/>
      </w:pPr>
      <w:r>
        <w:rPr>
          <w:rFonts w:cstheme="minorHAnsi"/>
          <w:sz w:val="24"/>
          <w:szCs w:val="24"/>
        </w:rPr>
        <w:t xml:space="preserve">A </w:t>
      </w:r>
      <w:r w:rsidR="00BE1FB8">
        <w:rPr>
          <w:rFonts w:cstheme="minorHAnsi"/>
          <w:sz w:val="24"/>
          <w:szCs w:val="24"/>
        </w:rPr>
        <w:t xml:space="preserve">2018 </w:t>
      </w:r>
      <w:r>
        <w:rPr>
          <w:rFonts w:cstheme="minorHAnsi"/>
          <w:sz w:val="24"/>
          <w:szCs w:val="24"/>
        </w:rPr>
        <w:t>Merrill Lynch</w:t>
      </w:r>
      <w:r w:rsidR="00BF1860">
        <w:rPr>
          <w:rFonts w:cstheme="minorHAnsi"/>
          <w:sz w:val="24"/>
          <w:szCs w:val="24"/>
        </w:rPr>
        <w:t>/Age Wave</w:t>
      </w:r>
      <w:r>
        <w:rPr>
          <w:rFonts w:cstheme="minorHAnsi"/>
          <w:sz w:val="24"/>
          <w:szCs w:val="24"/>
        </w:rPr>
        <w:t xml:space="preserve"> study</w:t>
      </w:r>
      <w:r w:rsidR="00BE1FB8">
        <w:rPr>
          <w:rStyle w:val="FootnoteReference"/>
          <w:rFonts w:cstheme="minorHAnsi"/>
          <w:sz w:val="24"/>
          <w:szCs w:val="24"/>
        </w:rPr>
        <w:footnoteReference w:id="1"/>
      </w:r>
      <w:r>
        <w:rPr>
          <w:rFonts w:cstheme="minorHAnsi"/>
          <w:sz w:val="24"/>
          <w:szCs w:val="24"/>
        </w:rPr>
        <w:t xml:space="preserve"> found that </w:t>
      </w:r>
      <w:r w:rsidR="00E171D0">
        <w:t>s</w:t>
      </w:r>
      <w:r>
        <w:t xml:space="preserve">ixty-one percent of women would rather talk about their </w:t>
      </w:r>
      <w:r w:rsidRPr="005B16B3">
        <w:rPr>
          <w:i/>
          <w:iCs/>
        </w:rPr>
        <w:t>own death</w:t>
      </w:r>
      <w:r>
        <w:t xml:space="preserve"> than money. And </w:t>
      </w:r>
      <w:r w:rsidR="004D6A43">
        <w:t>forty-five percent</w:t>
      </w:r>
      <w:r>
        <w:t xml:space="preserve"> of women say they do not have a financial role model.</w:t>
      </w:r>
      <w:r w:rsidR="00E171D0">
        <w:t xml:space="preserve"> </w:t>
      </w:r>
    </w:p>
    <w:p w14:paraId="527F7B79" w14:textId="5F1E2BED" w:rsidR="00B44A2D" w:rsidRPr="00782653" w:rsidRDefault="00B44A2D" w:rsidP="000D4CD7">
      <w:pPr>
        <w:spacing w:line="240" w:lineRule="auto"/>
        <w:jc w:val="both"/>
        <w:rPr>
          <w:rFonts w:cstheme="minorHAnsi"/>
          <w:sz w:val="24"/>
          <w:szCs w:val="24"/>
        </w:rPr>
      </w:pPr>
      <w:r w:rsidRPr="00782653">
        <w:rPr>
          <w:rFonts w:cstheme="minorHAnsi"/>
          <w:sz w:val="24"/>
          <w:szCs w:val="24"/>
        </w:rPr>
        <w:t xml:space="preserve">A recent client admitted she was embarrassed to voice her questions, as it would expose her lack of knowledge regarding investments. In further discussions, it became apparent that her unease was a direct reflection </w:t>
      </w:r>
      <w:r w:rsidR="004C4125">
        <w:rPr>
          <w:rFonts w:cstheme="minorHAnsi"/>
          <w:sz w:val="24"/>
          <w:szCs w:val="24"/>
        </w:rPr>
        <w:t xml:space="preserve">what she absorbed </w:t>
      </w:r>
      <w:r w:rsidRPr="00782653">
        <w:rPr>
          <w:rFonts w:cstheme="minorHAnsi"/>
          <w:sz w:val="24"/>
          <w:szCs w:val="24"/>
        </w:rPr>
        <w:t>around the dinner table as a young girl. Much of what we learn at home are attitudes and behaviors a</w:t>
      </w:r>
      <w:r>
        <w:rPr>
          <w:rFonts w:cstheme="minorHAnsi"/>
          <w:sz w:val="24"/>
          <w:szCs w:val="24"/>
        </w:rPr>
        <w:t>round</w:t>
      </w:r>
      <w:r w:rsidRPr="00782653">
        <w:rPr>
          <w:rFonts w:cstheme="minorHAnsi"/>
          <w:sz w:val="24"/>
          <w:szCs w:val="24"/>
        </w:rPr>
        <w:t xml:space="preserve"> money, credit, debt, and investing</w:t>
      </w:r>
      <w:r w:rsidR="003226D8">
        <w:rPr>
          <w:rFonts w:cstheme="minorHAnsi"/>
          <w:sz w:val="24"/>
          <w:szCs w:val="24"/>
        </w:rPr>
        <w:t>.</w:t>
      </w:r>
      <w:r w:rsidRPr="00782653">
        <w:rPr>
          <w:rFonts w:cstheme="minorHAnsi"/>
          <w:sz w:val="24"/>
          <w:szCs w:val="24"/>
        </w:rPr>
        <w:t xml:space="preserve"> </w:t>
      </w:r>
      <w:r w:rsidR="00EA4E18">
        <w:rPr>
          <w:rFonts w:cstheme="minorHAnsi"/>
          <w:sz w:val="24"/>
          <w:szCs w:val="24"/>
        </w:rPr>
        <w:t>A growing body of evidence points to the impact parents</w:t>
      </w:r>
      <w:r w:rsidR="00D5309E">
        <w:rPr>
          <w:rFonts w:cstheme="minorHAnsi"/>
          <w:sz w:val="24"/>
          <w:szCs w:val="24"/>
        </w:rPr>
        <w:t>’ financial beliefs and beha</w:t>
      </w:r>
      <w:r w:rsidR="002A4236">
        <w:rPr>
          <w:rFonts w:cstheme="minorHAnsi"/>
          <w:sz w:val="24"/>
          <w:szCs w:val="24"/>
        </w:rPr>
        <w:t>vi</w:t>
      </w:r>
      <w:r w:rsidR="00D5309E">
        <w:rPr>
          <w:rFonts w:cstheme="minorHAnsi"/>
          <w:sz w:val="24"/>
          <w:szCs w:val="24"/>
        </w:rPr>
        <w:t>ors have on their children</w:t>
      </w:r>
      <w:r w:rsidR="002A4236">
        <w:rPr>
          <w:rFonts w:cstheme="minorHAnsi"/>
          <w:sz w:val="24"/>
          <w:szCs w:val="24"/>
        </w:rPr>
        <w:t>’s financial outcome.</w:t>
      </w:r>
      <w:r w:rsidR="00EA4E18">
        <w:rPr>
          <w:rFonts w:cstheme="minorHAnsi"/>
          <w:sz w:val="24"/>
          <w:szCs w:val="24"/>
        </w:rPr>
        <w:t xml:space="preserve"> </w:t>
      </w:r>
      <w:r w:rsidR="0028758D">
        <w:rPr>
          <w:rFonts w:cstheme="minorHAnsi"/>
          <w:sz w:val="24"/>
          <w:szCs w:val="24"/>
        </w:rPr>
        <w:t>Because children</w:t>
      </w:r>
      <w:r w:rsidRPr="00782653">
        <w:rPr>
          <w:rFonts w:cstheme="minorHAnsi"/>
          <w:sz w:val="24"/>
          <w:szCs w:val="24"/>
        </w:rPr>
        <w:t xml:space="preserve"> observe </w:t>
      </w:r>
      <w:r w:rsidR="00D53091">
        <w:rPr>
          <w:rFonts w:cstheme="minorHAnsi"/>
          <w:sz w:val="24"/>
          <w:szCs w:val="24"/>
        </w:rPr>
        <w:t xml:space="preserve">behaviors </w:t>
      </w:r>
      <w:r w:rsidRPr="00782653">
        <w:rPr>
          <w:rFonts w:cstheme="minorHAnsi"/>
          <w:sz w:val="24"/>
          <w:szCs w:val="24"/>
        </w:rPr>
        <w:t xml:space="preserve">and draw </w:t>
      </w:r>
      <w:r w:rsidR="0028758D">
        <w:rPr>
          <w:rFonts w:cstheme="minorHAnsi"/>
          <w:sz w:val="24"/>
          <w:szCs w:val="24"/>
        </w:rPr>
        <w:t>their</w:t>
      </w:r>
      <w:r w:rsidRPr="00782653">
        <w:rPr>
          <w:rFonts w:cstheme="minorHAnsi"/>
          <w:sz w:val="24"/>
          <w:szCs w:val="24"/>
        </w:rPr>
        <w:t xml:space="preserve"> own conclusions, money topics need to be specifically addressed.</w:t>
      </w:r>
    </w:p>
    <w:p w14:paraId="2CF38E20" w14:textId="6B618625" w:rsidR="005B16B3" w:rsidRDefault="005B16B3">
      <w:pPr>
        <w:pStyle w:val="NormalWeb"/>
        <w:shd w:val="clear" w:color="auto" w:fill="FFFFFF"/>
        <w:jc w:val="both"/>
        <w:rPr>
          <w:rFonts w:asciiTheme="minorHAnsi" w:hAnsiTheme="minorHAnsi" w:cstheme="minorHAnsi"/>
        </w:rPr>
      </w:pPr>
      <w:r w:rsidRPr="00782653">
        <w:rPr>
          <w:rFonts w:asciiTheme="minorHAnsi" w:hAnsiTheme="minorHAnsi" w:cstheme="minorHAnsi"/>
        </w:rPr>
        <w:t xml:space="preserve">As a young woman, I saw this play out. </w:t>
      </w:r>
      <w:r>
        <w:rPr>
          <w:rFonts w:asciiTheme="minorHAnsi" w:hAnsiTheme="minorHAnsi" w:cstheme="minorHAnsi"/>
        </w:rPr>
        <w:t>How money was regarded, how easy or difficult it was to earn, and how it could be used as a cudgel over weaker partners</w:t>
      </w:r>
      <w:r w:rsidR="00D81636">
        <w:rPr>
          <w:rFonts w:asciiTheme="minorHAnsi" w:hAnsiTheme="minorHAnsi" w:cstheme="minorHAnsi"/>
        </w:rPr>
        <w:t>;</w:t>
      </w:r>
      <w:r>
        <w:rPr>
          <w:rFonts w:asciiTheme="minorHAnsi" w:hAnsiTheme="minorHAnsi" w:cstheme="minorHAnsi"/>
        </w:rPr>
        <w:t xml:space="preserve"> these were all lessons I learned. </w:t>
      </w:r>
      <w:r w:rsidRPr="00782653">
        <w:rPr>
          <w:rFonts w:asciiTheme="minorHAnsi" w:hAnsiTheme="minorHAnsi" w:cstheme="minorHAnsi"/>
        </w:rPr>
        <w:lastRenderedPageBreak/>
        <w:t>Like so many other women of my generation, there were few female role models in finance for me</w:t>
      </w:r>
      <w:r>
        <w:rPr>
          <w:rFonts w:asciiTheme="minorHAnsi" w:hAnsiTheme="minorHAnsi" w:cstheme="minorHAnsi"/>
        </w:rPr>
        <w:t xml:space="preserve"> to help provide balance.</w:t>
      </w:r>
      <w:r w:rsidRPr="0078265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Math became a dreaded subject for me.</w:t>
      </w:r>
    </w:p>
    <w:p w14:paraId="17642784" w14:textId="04AFB2DB" w:rsidR="00B5436D" w:rsidRPr="00F46730" w:rsidRDefault="00B5436D">
      <w:pPr>
        <w:pStyle w:val="NormalWeb"/>
        <w:shd w:val="clear" w:color="auto" w:fill="FFFFFF"/>
        <w:jc w:val="both"/>
        <w:rPr>
          <w:rFonts w:asciiTheme="minorHAnsi" w:hAnsiTheme="minorHAnsi" w:cstheme="minorHAnsi"/>
        </w:rPr>
      </w:pPr>
      <w:r w:rsidRPr="00F46730">
        <w:rPr>
          <w:rFonts w:asciiTheme="minorHAnsi" w:hAnsiTheme="minorHAnsi" w:cstheme="minorHAnsi"/>
        </w:rPr>
        <w:t>Today, young women are embracing STEM education</w:t>
      </w:r>
      <w:r w:rsidR="00F270AD" w:rsidRPr="00F46730">
        <w:rPr>
          <w:rFonts w:asciiTheme="minorHAnsi" w:hAnsiTheme="minorHAnsi" w:cstheme="minorHAnsi"/>
        </w:rPr>
        <w:t>, although their confidence in investing is still low.</w:t>
      </w:r>
      <w:r w:rsidR="00E5168C" w:rsidRPr="00F46730">
        <w:rPr>
          <w:rFonts w:asciiTheme="minorHAnsi" w:hAnsiTheme="minorHAnsi" w:cstheme="minorHAnsi"/>
        </w:rPr>
        <w:t xml:space="preserve">  From the same Merrill Lynch</w:t>
      </w:r>
      <w:r w:rsidR="00BF1860" w:rsidRPr="00F46730">
        <w:rPr>
          <w:rFonts w:asciiTheme="minorHAnsi" w:hAnsiTheme="minorHAnsi" w:cstheme="minorHAnsi"/>
        </w:rPr>
        <w:t>/Age Wave</w:t>
      </w:r>
      <w:r w:rsidR="00E5168C" w:rsidRPr="00F46730">
        <w:rPr>
          <w:rFonts w:asciiTheme="minorHAnsi" w:hAnsiTheme="minorHAnsi" w:cstheme="minorHAnsi"/>
        </w:rPr>
        <w:t xml:space="preserve"> report, </w:t>
      </w:r>
      <w:r w:rsidR="004A43B7" w:rsidRPr="00F46730">
        <w:rPr>
          <w:rFonts w:asciiTheme="minorHAnsi" w:hAnsiTheme="minorHAnsi" w:cstheme="minorHAnsi"/>
        </w:rPr>
        <w:t>‘</w:t>
      </w:r>
      <w:r w:rsidR="00A15094" w:rsidRPr="00F46730">
        <w:rPr>
          <w:rFonts w:asciiTheme="minorHAnsi" w:hAnsiTheme="minorHAnsi" w:cstheme="minorHAnsi"/>
        </w:rPr>
        <w:t>fully 63% of women ages 18 to 29 say wealth planning is too difficult to even think about</w:t>
      </w:r>
      <w:r w:rsidR="004A43B7" w:rsidRPr="00F46730">
        <w:rPr>
          <w:rFonts w:asciiTheme="minorHAnsi" w:hAnsiTheme="minorHAnsi" w:cstheme="minorHAnsi"/>
        </w:rPr>
        <w:t>’</w:t>
      </w:r>
      <w:r w:rsidR="00A15094" w:rsidRPr="00F46730">
        <w:rPr>
          <w:rFonts w:asciiTheme="minorHAnsi" w:hAnsiTheme="minorHAnsi" w:cstheme="minorHAnsi"/>
        </w:rPr>
        <w:t xml:space="preserve">, and </w:t>
      </w:r>
      <w:r w:rsidR="004A43B7" w:rsidRPr="00F46730">
        <w:rPr>
          <w:rFonts w:asciiTheme="minorHAnsi" w:hAnsiTheme="minorHAnsi" w:cstheme="minorHAnsi"/>
        </w:rPr>
        <w:t>‘o</w:t>
      </w:r>
      <w:r w:rsidR="00DA17CB" w:rsidRPr="00F46730">
        <w:rPr>
          <w:rFonts w:asciiTheme="minorHAnsi" w:hAnsiTheme="minorHAnsi" w:cstheme="minorHAnsi"/>
        </w:rPr>
        <w:t>ne in four women ages 18 or older, and as many as 30% of women ages 30 to 44—critical years for retirement savings—say they have not planned at all for their future</w:t>
      </w:r>
      <w:r w:rsidR="004A43B7" w:rsidRPr="00F46730">
        <w:rPr>
          <w:rFonts w:asciiTheme="minorHAnsi" w:hAnsiTheme="minorHAnsi" w:cstheme="minorHAnsi"/>
        </w:rPr>
        <w:t>.’</w:t>
      </w:r>
    </w:p>
    <w:p w14:paraId="2BF3BFAA" w14:textId="74172B7A" w:rsidR="00F46730" w:rsidRDefault="007D2AE7">
      <w:pPr>
        <w:pStyle w:val="NormalWeb"/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</w:t>
      </w:r>
      <w:r w:rsidR="00F46730">
        <w:rPr>
          <w:rFonts w:asciiTheme="minorHAnsi" w:hAnsiTheme="minorHAnsi" w:cstheme="minorHAnsi"/>
        </w:rPr>
        <w:t>can blame parents again</w:t>
      </w:r>
      <w:r w:rsidR="00CA02E5">
        <w:rPr>
          <w:rFonts w:asciiTheme="minorHAnsi" w:hAnsiTheme="minorHAnsi" w:cstheme="minorHAnsi"/>
        </w:rPr>
        <w:t>, along with the education</w:t>
      </w:r>
      <w:r w:rsidR="005E7B67">
        <w:rPr>
          <w:rFonts w:asciiTheme="minorHAnsi" w:hAnsiTheme="minorHAnsi" w:cstheme="minorHAnsi"/>
        </w:rPr>
        <w:t>al</w:t>
      </w:r>
      <w:r w:rsidR="00CA02E5">
        <w:rPr>
          <w:rFonts w:asciiTheme="minorHAnsi" w:hAnsiTheme="minorHAnsi" w:cstheme="minorHAnsi"/>
        </w:rPr>
        <w:t xml:space="preserve"> system</w:t>
      </w:r>
      <w:r w:rsidR="00F46730">
        <w:rPr>
          <w:rFonts w:asciiTheme="minorHAnsi" w:hAnsiTheme="minorHAnsi" w:cstheme="minorHAnsi"/>
        </w:rPr>
        <w:t>.</w:t>
      </w:r>
    </w:p>
    <w:p w14:paraId="1AEB235B" w14:textId="302E38AE" w:rsidR="005B16B3" w:rsidRDefault="005B16B3">
      <w:pPr>
        <w:pStyle w:val="NormalWeb"/>
        <w:shd w:val="clear" w:color="auto" w:fill="FFFFFF"/>
        <w:jc w:val="both"/>
        <w:rPr>
          <w:rFonts w:asciiTheme="minorHAnsi" w:hAnsiTheme="minorHAnsi" w:cstheme="minorHAnsi"/>
        </w:rPr>
      </w:pPr>
      <w:r w:rsidRPr="00782653">
        <w:rPr>
          <w:rFonts w:asciiTheme="minorHAnsi" w:hAnsiTheme="minorHAnsi" w:cstheme="minorHAnsi"/>
        </w:rPr>
        <w:t>According to a</w:t>
      </w:r>
      <w:r w:rsidR="00447436">
        <w:rPr>
          <w:rFonts w:asciiTheme="minorHAnsi" w:hAnsiTheme="minorHAnsi" w:cstheme="minorHAnsi"/>
        </w:rPr>
        <w:t xml:space="preserve"> </w:t>
      </w:r>
      <w:r w:rsidR="00F92D2D">
        <w:rPr>
          <w:rFonts w:asciiTheme="minorHAnsi" w:hAnsiTheme="minorHAnsi" w:cstheme="minorHAnsi"/>
        </w:rPr>
        <w:t xml:space="preserve">2015 </w:t>
      </w:r>
      <w:r w:rsidR="00447436">
        <w:rPr>
          <w:rFonts w:asciiTheme="minorHAnsi" w:hAnsiTheme="minorHAnsi" w:cstheme="minorHAnsi"/>
        </w:rPr>
        <w:t>report by the</w:t>
      </w:r>
      <w:r w:rsidRPr="00782653">
        <w:rPr>
          <w:rFonts w:asciiTheme="minorHAnsi" w:hAnsiTheme="minorHAnsi" w:cstheme="minorHAnsi"/>
        </w:rPr>
        <w:t xml:space="preserve"> </w:t>
      </w:r>
      <w:r w:rsidR="00E2398D">
        <w:rPr>
          <w:rFonts w:asciiTheme="minorHAnsi" w:hAnsiTheme="minorHAnsi" w:cstheme="minorHAnsi"/>
        </w:rPr>
        <w:t xml:space="preserve">Organization for </w:t>
      </w:r>
      <w:r w:rsidR="009831DE">
        <w:rPr>
          <w:rFonts w:asciiTheme="minorHAnsi" w:hAnsiTheme="minorHAnsi" w:cstheme="minorHAnsi"/>
        </w:rPr>
        <w:t>Economic Cooperation and Development (OECD)</w:t>
      </w:r>
      <w:r w:rsidRPr="00782653">
        <w:rPr>
          <w:rFonts w:asciiTheme="minorHAnsi" w:hAnsiTheme="minorHAnsi" w:cstheme="minorHAnsi"/>
        </w:rPr>
        <w:t>,</w:t>
      </w:r>
      <w:r w:rsidR="00F46730">
        <w:rPr>
          <w:rStyle w:val="FootnoteReference"/>
          <w:rFonts w:asciiTheme="minorHAnsi" w:hAnsiTheme="minorHAnsi" w:cstheme="minorHAnsi"/>
        </w:rPr>
        <w:footnoteReference w:id="2"/>
      </w:r>
      <w:r w:rsidR="005E7B67">
        <w:rPr>
          <w:rFonts w:asciiTheme="minorHAnsi" w:hAnsiTheme="minorHAnsi" w:cstheme="minorHAnsi"/>
        </w:rPr>
        <w:t xml:space="preserve"> </w:t>
      </w:r>
      <w:r w:rsidRPr="00782653">
        <w:rPr>
          <w:rFonts w:asciiTheme="minorHAnsi" w:hAnsiTheme="minorHAnsi" w:cstheme="minorHAnsi"/>
        </w:rPr>
        <w:t>“OECD pinned the blame for the disadvantage for girls in ma</w:t>
      </w:r>
      <w:r>
        <w:rPr>
          <w:rFonts w:asciiTheme="minorHAnsi" w:hAnsiTheme="minorHAnsi" w:cstheme="minorHAnsi"/>
        </w:rPr>
        <w:t>th</w:t>
      </w:r>
      <w:r w:rsidR="000A2D23">
        <w:rPr>
          <w:rFonts w:asciiTheme="minorHAnsi" w:hAnsiTheme="minorHAnsi" w:cstheme="minorHAnsi"/>
        </w:rPr>
        <w:t>s</w:t>
      </w:r>
      <w:r w:rsidRPr="00782653">
        <w:rPr>
          <w:rFonts w:asciiTheme="minorHAnsi" w:hAnsiTheme="minorHAnsi" w:cstheme="minorHAnsi"/>
        </w:rPr>
        <w:t xml:space="preserve"> and science on low expectations among parents and teachers, as well as lack of self-confidence.</w:t>
      </w:r>
      <w:r>
        <w:rPr>
          <w:rFonts w:asciiTheme="minorHAnsi" w:hAnsiTheme="minorHAnsi" w:cstheme="minorHAnsi"/>
        </w:rPr>
        <w:t xml:space="preserve"> </w:t>
      </w:r>
      <w:r w:rsidRPr="00782653">
        <w:rPr>
          <w:rFonts w:asciiTheme="minorHAnsi" w:hAnsiTheme="minorHAnsi" w:cstheme="minorHAnsi"/>
        </w:rPr>
        <w:t xml:space="preserve">Girls were more likely than boys to report that they </w:t>
      </w:r>
      <w:r>
        <w:rPr>
          <w:rFonts w:asciiTheme="minorHAnsi" w:hAnsiTheme="minorHAnsi" w:cstheme="minorHAnsi"/>
        </w:rPr>
        <w:t>‘</w:t>
      </w:r>
      <w:r w:rsidRPr="00782653">
        <w:rPr>
          <w:rFonts w:asciiTheme="minorHAnsi" w:hAnsiTheme="minorHAnsi" w:cstheme="minorHAnsi"/>
        </w:rPr>
        <w:t>just weren’t good at math</w:t>
      </w:r>
      <w:r w:rsidR="000A2D23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’</w:t>
      </w:r>
      <w:r w:rsidRPr="00782653">
        <w:rPr>
          <w:rFonts w:asciiTheme="minorHAnsi" w:hAnsiTheme="minorHAnsi" w:cstheme="minorHAnsi"/>
        </w:rPr>
        <w:t xml:space="preserve"> and less likely to agree that math was one of their best subjects.” </w:t>
      </w:r>
    </w:p>
    <w:p w14:paraId="3DE7CD2D" w14:textId="58A39819" w:rsidR="00DE1D5C" w:rsidRPr="005C26B9" w:rsidRDefault="005B16B3">
      <w:pPr>
        <w:pStyle w:val="NormalWeb"/>
        <w:shd w:val="clear" w:color="auto" w:fill="FFFFFF"/>
        <w:jc w:val="both"/>
        <w:rPr>
          <w:rFonts w:asciiTheme="minorHAnsi" w:hAnsiTheme="minorHAnsi" w:cstheme="minorHAnsi"/>
          <w:shd w:val="clear" w:color="auto" w:fill="F6F6F6"/>
        </w:rPr>
      </w:pPr>
      <w:r w:rsidRPr="005C26B9">
        <w:rPr>
          <w:rFonts w:asciiTheme="minorHAnsi" w:hAnsiTheme="minorHAnsi" w:cstheme="minorHAnsi"/>
        </w:rPr>
        <w:t>Importantly, the report also found that g</w:t>
      </w:r>
      <w:r w:rsidRPr="005C26B9">
        <w:rPr>
          <w:rFonts w:asciiTheme="minorHAnsi" w:hAnsiTheme="minorHAnsi" w:cstheme="minorHAnsi"/>
          <w:shd w:val="clear" w:color="auto" w:fill="F6F6F6"/>
        </w:rPr>
        <w:t xml:space="preserve">ender disparities in performance do not stem from innate differences in aptitude. </w:t>
      </w:r>
      <w:r w:rsidR="00C4750A" w:rsidRPr="005C26B9">
        <w:rPr>
          <w:rFonts w:asciiTheme="minorHAnsi" w:hAnsiTheme="minorHAnsi" w:cstheme="minorHAnsi"/>
          <w:shd w:val="clear" w:color="auto" w:fill="F6F6F6"/>
        </w:rPr>
        <w:t>This</w:t>
      </w:r>
      <w:r w:rsidR="00E551FC" w:rsidRPr="005C26B9">
        <w:rPr>
          <w:rFonts w:asciiTheme="minorHAnsi" w:hAnsiTheme="minorHAnsi" w:cstheme="minorHAnsi"/>
          <w:shd w:val="clear" w:color="auto" w:fill="F6F6F6"/>
        </w:rPr>
        <w:t xml:space="preserve"> has also been the finding from </w:t>
      </w:r>
      <w:r w:rsidR="00C25CA2" w:rsidRPr="005C26B9">
        <w:rPr>
          <w:rFonts w:asciiTheme="minorHAnsi" w:hAnsiTheme="minorHAnsi" w:cstheme="minorHAnsi"/>
          <w:shd w:val="clear" w:color="auto" w:fill="F6F6F6"/>
        </w:rPr>
        <w:t>Edutopia,</w:t>
      </w:r>
      <w:r w:rsidR="005E7B67">
        <w:rPr>
          <w:rStyle w:val="FootnoteReference"/>
          <w:rFonts w:asciiTheme="minorHAnsi" w:hAnsiTheme="minorHAnsi" w:cstheme="minorHAnsi"/>
          <w:shd w:val="clear" w:color="auto" w:fill="F6F6F6"/>
        </w:rPr>
        <w:footnoteReference w:id="3"/>
      </w:r>
      <w:r w:rsidR="00C25CA2" w:rsidRPr="005C26B9">
        <w:rPr>
          <w:rFonts w:asciiTheme="minorHAnsi" w:hAnsiTheme="minorHAnsi" w:cstheme="minorHAnsi"/>
          <w:shd w:val="clear" w:color="auto" w:fill="F6F6F6"/>
        </w:rPr>
        <w:t xml:space="preserve"> a part of The George Lucas Educational Foundation. </w:t>
      </w:r>
    </w:p>
    <w:p w14:paraId="35284034" w14:textId="3983D4AB" w:rsidR="00312DAC" w:rsidRDefault="00396548" w:rsidP="000D4CD7">
      <w:pPr>
        <w:spacing w:line="240" w:lineRule="auto"/>
        <w:jc w:val="both"/>
        <w:rPr>
          <w:rFonts w:cstheme="minorHAnsi"/>
          <w:sz w:val="24"/>
          <w:szCs w:val="24"/>
        </w:rPr>
      </w:pPr>
      <w:r w:rsidRPr="005C26B9">
        <w:rPr>
          <w:rFonts w:cstheme="minorHAnsi"/>
          <w:sz w:val="24"/>
          <w:szCs w:val="24"/>
        </w:rPr>
        <w:t xml:space="preserve">Regardless of </w:t>
      </w:r>
      <w:r w:rsidR="007243FD" w:rsidRPr="005C26B9">
        <w:rPr>
          <w:rFonts w:cstheme="minorHAnsi"/>
          <w:sz w:val="24"/>
          <w:szCs w:val="24"/>
        </w:rPr>
        <w:t>our confidence in or exposure to math and investing,</w:t>
      </w:r>
      <w:r w:rsidR="006B4034" w:rsidRPr="005C26B9">
        <w:rPr>
          <w:rFonts w:cstheme="minorHAnsi"/>
          <w:sz w:val="24"/>
          <w:szCs w:val="24"/>
        </w:rPr>
        <w:t xml:space="preserve"> women have gender-based hurdles</w:t>
      </w:r>
      <w:r w:rsidR="00E2398D" w:rsidRPr="005C26B9">
        <w:rPr>
          <w:rFonts w:cstheme="minorHAnsi"/>
          <w:sz w:val="24"/>
          <w:szCs w:val="24"/>
        </w:rPr>
        <w:t xml:space="preserve"> in achieving </w:t>
      </w:r>
      <w:r w:rsidR="00F55A0B">
        <w:rPr>
          <w:rFonts w:cstheme="minorHAnsi"/>
          <w:sz w:val="24"/>
          <w:szCs w:val="24"/>
        </w:rPr>
        <w:t xml:space="preserve">parity in </w:t>
      </w:r>
      <w:r w:rsidR="00E2398D" w:rsidRPr="005C26B9">
        <w:rPr>
          <w:rFonts w:cstheme="minorHAnsi"/>
          <w:sz w:val="24"/>
          <w:szCs w:val="24"/>
        </w:rPr>
        <w:t>retirement readiness.</w:t>
      </w:r>
    </w:p>
    <w:p w14:paraId="11827E0A" w14:textId="51E8FE58" w:rsidR="004F2AC0" w:rsidRDefault="004F2AC0" w:rsidP="000D4CD7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Our life expectancy is longer</w:t>
      </w:r>
      <w:r w:rsidR="003F0573">
        <w:rPr>
          <w:rFonts w:cstheme="minorHAnsi"/>
          <w:sz w:val="24"/>
          <w:szCs w:val="24"/>
        </w:rPr>
        <w:t xml:space="preserve">. The gender pay gap </w:t>
      </w:r>
      <w:r w:rsidR="00575332">
        <w:rPr>
          <w:rFonts w:cstheme="minorHAnsi"/>
          <w:sz w:val="24"/>
          <w:szCs w:val="24"/>
        </w:rPr>
        <w:t>means that the average woman earns close to one million dollars less over her career than the average man. Women take off from the workforce more</w:t>
      </w:r>
      <w:r w:rsidR="00E90ABF">
        <w:rPr>
          <w:rFonts w:cstheme="minorHAnsi"/>
          <w:sz w:val="24"/>
          <w:szCs w:val="24"/>
        </w:rPr>
        <w:t>, as we are the primary caregivers for children and elderly parents. Our Social Security benefits reflect both lower earnings and</w:t>
      </w:r>
      <w:r w:rsidR="003D34A7">
        <w:rPr>
          <w:rFonts w:cstheme="minorHAnsi"/>
          <w:sz w:val="24"/>
          <w:szCs w:val="24"/>
        </w:rPr>
        <w:t xml:space="preserve"> inconsisten</w:t>
      </w:r>
      <w:r w:rsidR="006E4F7E">
        <w:rPr>
          <w:rFonts w:cstheme="minorHAnsi"/>
          <w:sz w:val="24"/>
          <w:szCs w:val="24"/>
        </w:rPr>
        <w:t>cy in the workforce.</w:t>
      </w:r>
      <w:r w:rsidR="006F7CDE">
        <w:rPr>
          <w:rFonts w:cstheme="minorHAnsi"/>
          <w:sz w:val="24"/>
          <w:szCs w:val="24"/>
        </w:rPr>
        <w:t xml:space="preserve"> </w:t>
      </w:r>
    </w:p>
    <w:p w14:paraId="4855E500" w14:textId="5065BD55" w:rsidR="006F7CDE" w:rsidRDefault="004D5878" w:rsidP="000D4CD7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While there is </w:t>
      </w:r>
      <w:r w:rsidR="005A681D">
        <w:rPr>
          <w:rFonts w:cstheme="minorHAnsi"/>
          <w:sz w:val="24"/>
          <w:szCs w:val="24"/>
        </w:rPr>
        <w:t>much</w:t>
      </w:r>
      <w:r w:rsidR="001F2647">
        <w:rPr>
          <w:rFonts w:cstheme="minorHAnsi"/>
          <w:sz w:val="24"/>
          <w:szCs w:val="24"/>
        </w:rPr>
        <w:t xml:space="preserve"> to be done on the political spectrum in addressing these disparities, many more </w:t>
      </w:r>
      <w:r w:rsidR="00C43C88">
        <w:rPr>
          <w:rFonts w:cstheme="minorHAnsi"/>
          <w:sz w:val="24"/>
          <w:szCs w:val="24"/>
        </w:rPr>
        <w:t xml:space="preserve">resources exist </w:t>
      </w:r>
      <w:r w:rsidR="0078577D">
        <w:rPr>
          <w:rFonts w:cstheme="minorHAnsi"/>
          <w:sz w:val="24"/>
          <w:szCs w:val="24"/>
        </w:rPr>
        <w:t xml:space="preserve">now </w:t>
      </w:r>
      <w:r w:rsidR="00C43C88">
        <w:rPr>
          <w:rFonts w:cstheme="minorHAnsi"/>
          <w:sz w:val="24"/>
          <w:szCs w:val="24"/>
        </w:rPr>
        <w:t>to help women in their readiness to tackle retirement</w:t>
      </w:r>
      <w:r w:rsidR="00A8772A">
        <w:rPr>
          <w:rFonts w:cstheme="minorHAnsi"/>
          <w:sz w:val="24"/>
          <w:szCs w:val="24"/>
        </w:rPr>
        <w:t xml:space="preserve"> readiness and investing confidence.</w:t>
      </w:r>
    </w:p>
    <w:p w14:paraId="76B7190B" w14:textId="60D15A6A" w:rsidR="009948F9" w:rsidRDefault="005A6507" w:rsidP="000D4CD7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DF3FF7">
        <w:rPr>
          <w:rFonts w:cstheme="minorHAnsi"/>
          <w:sz w:val="24"/>
          <w:szCs w:val="24"/>
        </w:rPr>
        <w:t xml:space="preserve">raining within the financial services industry aimed at helping to educate women and to </w:t>
      </w:r>
      <w:r>
        <w:rPr>
          <w:rFonts w:cstheme="minorHAnsi"/>
          <w:sz w:val="24"/>
          <w:szCs w:val="24"/>
        </w:rPr>
        <w:t xml:space="preserve">change </w:t>
      </w:r>
      <w:r w:rsidR="007C7DB5">
        <w:rPr>
          <w:rFonts w:cstheme="minorHAnsi"/>
          <w:sz w:val="24"/>
          <w:szCs w:val="24"/>
        </w:rPr>
        <w:t>advisors’</w:t>
      </w:r>
      <w:r>
        <w:rPr>
          <w:rFonts w:cstheme="minorHAnsi"/>
          <w:sz w:val="24"/>
          <w:szCs w:val="24"/>
        </w:rPr>
        <w:t xml:space="preserve"> approach in dealing with female clients </w:t>
      </w:r>
      <w:r w:rsidR="00CA02E5">
        <w:rPr>
          <w:rFonts w:cstheme="minorHAnsi"/>
          <w:sz w:val="24"/>
          <w:szCs w:val="24"/>
        </w:rPr>
        <w:t>is</w:t>
      </w:r>
      <w:r>
        <w:rPr>
          <w:rFonts w:cstheme="minorHAnsi"/>
          <w:sz w:val="24"/>
          <w:szCs w:val="24"/>
        </w:rPr>
        <w:t xml:space="preserve"> a good start. </w:t>
      </w:r>
      <w:r w:rsidR="005F064F">
        <w:rPr>
          <w:rFonts w:cstheme="minorHAnsi"/>
          <w:sz w:val="24"/>
          <w:szCs w:val="24"/>
        </w:rPr>
        <w:t xml:space="preserve">The growing </w:t>
      </w:r>
      <w:r w:rsidR="009948F9">
        <w:rPr>
          <w:rFonts w:cstheme="minorHAnsi"/>
          <w:sz w:val="24"/>
          <w:szCs w:val="24"/>
        </w:rPr>
        <w:t>body of o</w:t>
      </w:r>
      <w:r>
        <w:rPr>
          <w:rFonts w:cstheme="minorHAnsi"/>
          <w:sz w:val="24"/>
          <w:szCs w:val="24"/>
        </w:rPr>
        <w:t xml:space="preserve">nline resources </w:t>
      </w:r>
      <w:r w:rsidR="005F064F">
        <w:rPr>
          <w:rFonts w:cstheme="minorHAnsi"/>
          <w:sz w:val="24"/>
          <w:szCs w:val="24"/>
        </w:rPr>
        <w:t>and apps</w:t>
      </w:r>
      <w:r w:rsidR="00544264">
        <w:rPr>
          <w:rFonts w:cstheme="minorHAnsi"/>
          <w:sz w:val="24"/>
          <w:szCs w:val="24"/>
        </w:rPr>
        <w:t xml:space="preserve"> are another sign of the importance of </w:t>
      </w:r>
      <w:r w:rsidR="009948F9">
        <w:rPr>
          <w:rFonts w:cstheme="minorHAnsi"/>
          <w:sz w:val="24"/>
          <w:szCs w:val="24"/>
        </w:rPr>
        <w:t>financial literacy. AskFinny</w:t>
      </w:r>
      <w:r w:rsidR="002E6609">
        <w:rPr>
          <w:rStyle w:val="FootnoteReference"/>
          <w:rFonts w:cstheme="minorHAnsi"/>
          <w:sz w:val="24"/>
          <w:szCs w:val="24"/>
        </w:rPr>
        <w:footnoteReference w:id="4"/>
      </w:r>
      <w:r w:rsidR="009948F9">
        <w:rPr>
          <w:rFonts w:cstheme="minorHAnsi"/>
          <w:sz w:val="24"/>
          <w:szCs w:val="24"/>
        </w:rPr>
        <w:t xml:space="preserve"> </w:t>
      </w:r>
      <w:r w:rsidR="006E1A9C">
        <w:rPr>
          <w:rFonts w:cstheme="minorHAnsi"/>
          <w:sz w:val="24"/>
          <w:szCs w:val="24"/>
        </w:rPr>
        <w:t xml:space="preserve">is one such app, and I am pleased to be a coach on the platform. </w:t>
      </w:r>
      <w:r w:rsidR="00CA02E5">
        <w:rPr>
          <w:rFonts w:cstheme="minorHAnsi"/>
          <w:sz w:val="24"/>
          <w:szCs w:val="24"/>
        </w:rPr>
        <w:t>Finny’s number of users and t</w:t>
      </w:r>
      <w:r w:rsidR="007106DB">
        <w:rPr>
          <w:rFonts w:cstheme="minorHAnsi"/>
          <w:sz w:val="24"/>
          <w:szCs w:val="24"/>
        </w:rPr>
        <w:t xml:space="preserve">he </w:t>
      </w:r>
      <w:r w:rsidR="005E7B67">
        <w:rPr>
          <w:rFonts w:cstheme="minorHAnsi"/>
          <w:sz w:val="24"/>
          <w:szCs w:val="24"/>
        </w:rPr>
        <w:t xml:space="preserve">degree </w:t>
      </w:r>
      <w:r w:rsidR="007106DB">
        <w:rPr>
          <w:rFonts w:cstheme="minorHAnsi"/>
          <w:sz w:val="24"/>
          <w:szCs w:val="24"/>
        </w:rPr>
        <w:t xml:space="preserve">of interaction between </w:t>
      </w:r>
      <w:r w:rsidR="00CA02E5">
        <w:rPr>
          <w:rFonts w:cstheme="minorHAnsi"/>
          <w:sz w:val="24"/>
          <w:szCs w:val="24"/>
        </w:rPr>
        <w:t xml:space="preserve">them </w:t>
      </w:r>
      <w:r w:rsidR="007106DB">
        <w:rPr>
          <w:rFonts w:cstheme="minorHAnsi"/>
          <w:sz w:val="24"/>
          <w:szCs w:val="24"/>
        </w:rPr>
        <w:t>point</w:t>
      </w:r>
      <w:r w:rsidR="005E7B67">
        <w:rPr>
          <w:rFonts w:cstheme="minorHAnsi"/>
          <w:sz w:val="24"/>
          <w:szCs w:val="24"/>
        </w:rPr>
        <w:t>s</w:t>
      </w:r>
      <w:r w:rsidR="007106DB">
        <w:rPr>
          <w:rFonts w:cstheme="minorHAnsi"/>
          <w:sz w:val="24"/>
          <w:szCs w:val="24"/>
        </w:rPr>
        <w:t xml:space="preserve"> to </w:t>
      </w:r>
      <w:r w:rsidR="007D202B">
        <w:rPr>
          <w:rFonts w:cstheme="minorHAnsi"/>
          <w:sz w:val="24"/>
          <w:szCs w:val="24"/>
        </w:rPr>
        <w:t xml:space="preserve">how much </w:t>
      </w:r>
      <w:r w:rsidR="00CA02E5">
        <w:rPr>
          <w:rFonts w:cstheme="minorHAnsi"/>
          <w:sz w:val="24"/>
          <w:szCs w:val="24"/>
        </w:rPr>
        <w:t xml:space="preserve">financial literacy conversations are </w:t>
      </w:r>
      <w:r w:rsidR="007D202B">
        <w:rPr>
          <w:rFonts w:cstheme="minorHAnsi"/>
          <w:sz w:val="24"/>
          <w:szCs w:val="24"/>
        </w:rPr>
        <w:t>needed.</w:t>
      </w:r>
    </w:p>
    <w:p w14:paraId="1233D12E" w14:textId="153D36CC" w:rsidR="00B74F23" w:rsidRDefault="0086523A" w:rsidP="000D4CD7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the years since Women and Their Money was first introduced, </w:t>
      </w:r>
      <w:r w:rsidR="00865656">
        <w:rPr>
          <w:rFonts w:cstheme="minorHAnsi"/>
          <w:sz w:val="24"/>
          <w:szCs w:val="24"/>
        </w:rPr>
        <w:t xml:space="preserve">I have been on the front lines of helping provide </w:t>
      </w:r>
      <w:r w:rsidR="00C85D68">
        <w:rPr>
          <w:rFonts w:cstheme="minorHAnsi"/>
          <w:sz w:val="24"/>
          <w:szCs w:val="24"/>
        </w:rPr>
        <w:t xml:space="preserve">financial literacy </w:t>
      </w:r>
      <w:r w:rsidR="00865656">
        <w:rPr>
          <w:rFonts w:cstheme="minorHAnsi"/>
          <w:sz w:val="24"/>
          <w:szCs w:val="24"/>
        </w:rPr>
        <w:t>guidance to women</w:t>
      </w:r>
      <w:r w:rsidR="00C85D68">
        <w:rPr>
          <w:rFonts w:cstheme="minorHAnsi"/>
          <w:sz w:val="24"/>
          <w:szCs w:val="24"/>
        </w:rPr>
        <w:t>.</w:t>
      </w:r>
      <w:r w:rsidR="002568DD">
        <w:rPr>
          <w:rFonts w:cstheme="minorHAnsi"/>
          <w:sz w:val="24"/>
          <w:szCs w:val="24"/>
        </w:rPr>
        <w:t xml:space="preserve"> </w:t>
      </w:r>
      <w:r w:rsidR="00FF4AEA">
        <w:rPr>
          <w:rFonts w:cstheme="minorHAnsi"/>
          <w:sz w:val="24"/>
          <w:szCs w:val="24"/>
        </w:rPr>
        <w:t xml:space="preserve">I </w:t>
      </w:r>
      <w:r w:rsidR="00A94620">
        <w:rPr>
          <w:rFonts w:cstheme="minorHAnsi"/>
          <w:sz w:val="24"/>
          <w:szCs w:val="24"/>
        </w:rPr>
        <w:t xml:space="preserve">now </w:t>
      </w:r>
      <w:r w:rsidR="00FF4AEA">
        <w:rPr>
          <w:rFonts w:cstheme="minorHAnsi"/>
          <w:sz w:val="24"/>
          <w:szCs w:val="24"/>
        </w:rPr>
        <w:t>see a</w:t>
      </w:r>
      <w:r w:rsidR="00606050">
        <w:rPr>
          <w:rFonts w:cstheme="minorHAnsi"/>
          <w:sz w:val="24"/>
          <w:szCs w:val="24"/>
        </w:rPr>
        <w:t>n</w:t>
      </w:r>
      <w:r w:rsidR="00FF4AEA">
        <w:rPr>
          <w:rFonts w:cstheme="minorHAnsi"/>
          <w:sz w:val="24"/>
          <w:szCs w:val="24"/>
        </w:rPr>
        <w:t xml:space="preserve"> important shift in </w:t>
      </w:r>
      <w:r w:rsidR="00606050">
        <w:rPr>
          <w:rFonts w:cstheme="minorHAnsi"/>
          <w:sz w:val="24"/>
          <w:szCs w:val="24"/>
        </w:rPr>
        <w:t xml:space="preserve">this area. Bringing us back to the lessons we </w:t>
      </w:r>
      <w:r w:rsidR="00A55724">
        <w:rPr>
          <w:rFonts w:cstheme="minorHAnsi"/>
          <w:sz w:val="24"/>
          <w:szCs w:val="24"/>
        </w:rPr>
        <w:t>absorbed around the kitchen table</w:t>
      </w:r>
      <w:r w:rsidR="00A67B64">
        <w:rPr>
          <w:rFonts w:cstheme="minorHAnsi"/>
          <w:sz w:val="24"/>
          <w:szCs w:val="24"/>
        </w:rPr>
        <w:t xml:space="preserve">, we are beginning to </w:t>
      </w:r>
      <w:r w:rsidR="00D843FA">
        <w:rPr>
          <w:rFonts w:cstheme="minorHAnsi"/>
          <w:sz w:val="24"/>
          <w:szCs w:val="24"/>
        </w:rPr>
        <w:lastRenderedPageBreak/>
        <w:t>examine the beliefs we hold</w:t>
      </w:r>
      <w:r w:rsidR="00EB105E">
        <w:rPr>
          <w:rFonts w:cstheme="minorHAnsi"/>
          <w:sz w:val="24"/>
          <w:szCs w:val="24"/>
        </w:rPr>
        <w:t xml:space="preserve"> about money.</w:t>
      </w:r>
      <w:r w:rsidR="00683247">
        <w:rPr>
          <w:rFonts w:cstheme="minorHAnsi"/>
          <w:sz w:val="24"/>
          <w:szCs w:val="24"/>
        </w:rPr>
        <w:t xml:space="preserve"> Often </w:t>
      </w:r>
      <w:r w:rsidR="00CA02E5">
        <w:rPr>
          <w:rFonts w:cstheme="minorHAnsi"/>
          <w:sz w:val="24"/>
          <w:szCs w:val="24"/>
        </w:rPr>
        <w:t>sub</w:t>
      </w:r>
      <w:r w:rsidR="00683247">
        <w:rPr>
          <w:rFonts w:cstheme="minorHAnsi"/>
          <w:sz w:val="24"/>
          <w:szCs w:val="24"/>
        </w:rPr>
        <w:t xml:space="preserve">conscious, these beliefs </w:t>
      </w:r>
      <w:r w:rsidR="0095511A">
        <w:rPr>
          <w:rFonts w:cstheme="minorHAnsi"/>
          <w:sz w:val="24"/>
          <w:szCs w:val="24"/>
        </w:rPr>
        <w:t xml:space="preserve">dictate how we spend and save, how we interact with partners around money, and how </w:t>
      </w:r>
      <w:r w:rsidR="004A5648">
        <w:rPr>
          <w:rFonts w:cstheme="minorHAnsi"/>
          <w:sz w:val="24"/>
          <w:szCs w:val="24"/>
        </w:rPr>
        <w:t xml:space="preserve">successful we will be in achieving </w:t>
      </w:r>
      <w:r w:rsidR="00A938B8">
        <w:rPr>
          <w:rFonts w:cstheme="minorHAnsi"/>
          <w:sz w:val="24"/>
          <w:szCs w:val="24"/>
        </w:rPr>
        <w:t xml:space="preserve">our </w:t>
      </w:r>
      <w:r w:rsidR="004A5648">
        <w:rPr>
          <w:rFonts w:cstheme="minorHAnsi"/>
          <w:sz w:val="24"/>
          <w:szCs w:val="24"/>
        </w:rPr>
        <w:t xml:space="preserve">financial goals. </w:t>
      </w:r>
    </w:p>
    <w:p w14:paraId="53756499" w14:textId="0E6B5EA4" w:rsidR="004847CA" w:rsidRDefault="0095078B" w:rsidP="000D4CD7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Working together, </w:t>
      </w:r>
      <w:r w:rsidR="006356D5">
        <w:rPr>
          <w:rFonts w:cstheme="minorHAnsi"/>
          <w:sz w:val="24"/>
          <w:szCs w:val="24"/>
        </w:rPr>
        <w:t>we are bringing financial literacy to the forefront</w:t>
      </w:r>
      <w:r w:rsidR="0039548C">
        <w:rPr>
          <w:rFonts w:cstheme="minorHAnsi"/>
          <w:sz w:val="24"/>
          <w:szCs w:val="24"/>
        </w:rPr>
        <w:t>, which is a great start</w:t>
      </w:r>
      <w:r w:rsidR="006356D5">
        <w:rPr>
          <w:rFonts w:cstheme="minorHAnsi"/>
          <w:sz w:val="24"/>
          <w:szCs w:val="24"/>
        </w:rPr>
        <w:t>.</w:t>
      </w:r>
      <w:r w:rsidR="005366AC">
        <w:rPr>
          <w:rFonts w:cstheme="minorHAnsi"/>
          <w:sz w:val="24"/>
          <w:szCs w:val="24"/>
        </w:rPr>
        <w:t xml:space="preserve"> Uncovering limiting beliefs is the next step. Changing behaviors is </w:t>
      </w:r>
      <w:r w:rsidR="0039548C">
        <w:rPr>
          <w:rFonts w:cstheme="minorHAnsi"/>
          <w:sz w:val="24"/>
          <w:szCs w:val="24"/>
        </w:rPr>
        <w:t xml:space="preserve">our </w:t>
      </w:r>
      <w:r w:rsidR="005366AC">
        <w:rPr>
          <w:rFonts w:cstheme="minorHAnsi"/>
          <w:sz w:val="24"/>
          <w:szCs w:val="24"/>
        </w:rPr>
        <w:t>ultimate goal</w:t>
      </w:r>
      <w:r w:rsidR="00FE4EE1">
        <w:rPr>
          <w:rFonts w:cstheme="minorHAnsi"/>
          <w:sz w:val="24"/>
          <w:szCs w:val="24"/>
        </w:rPr>
        <w:t>.</w:t>
      </w:r>
    </w:p>
    <w:p w14:paraId="68D4B602" w14:textId="77777777" w:rsidR="00CE0AF0" w:rsidRDefault="00CE0AF0" w:rsidP="000D4CD7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76E1A7E4" w14:textId="71E99518" w:rsidR="007D202B" w:rsidRDefault="007D202B" w:rsidP="00312DAC">
      <w:pPr>
        <w:jc w:val="both"/>
        <w:rPr>
          <w:rFonts w:cstheme="minorHAnsi"/>
          <w:sz w:val="24"/>
          <w:szCs w:val="24"/>
        </w:rPr>
      </w:pPr>
    </w:p>
    <w:p w14:paraId="2909B3C7" w14:textId="7442AF15" w:rsidR="00A3679F" w:rsidRDefault="00A3679F" w:rsidP="00312DAC">
      <w:pPr>
        <w:jc w:val="both"/>
        <w:rPr>
          <w:rFonts w:cstheme="minorHAnsi"/>
          <w:sz w:val="24"/>
          <w:szCs w:val="24"/>
        </w:rPr>
      </w:pPr>
    </w:p>
    <w:p w14:paraId="3D43B802" w14:textId="77777777" w:rsidR="00A3679F" w:rsidRDefault="00A3679F" w:rsidP="00312DAC">
      <w:pPr>
        <w:jc w:val="both"/>
        <w:rPr>
          <w:rFonts w:cstheme="minorHAnsi"/>
          <w:sz w:val="24"/>
          <w:szCs w:val="24"/>
        </w:rPr>
      </w:pPr>
    </w:p>
    <w:p w14:paraId="45EFCB29" w14:textId="3F1AD3FB" w:rsidR="00EA58D3" w:rsidRDefault="00370BBF" w:rsidP="000D4CD7">
      <w:pPr>
        <w:jc w:val="both"/>
      </w:pPr>
      <w:r>
        <w:rPr>
          <w:rFonts w:cstheme="minorHAnsi"/>
          <w:sz w:val="24"/>
          <w:szCs w:val="24"/>
        </w:rPr>
        <w:t>Ilene Slatko</w:t>
      </w:r>
      <w:r w:rsidR="00A938B8">
        <w:rPr>
          <w:rFonts w:cstheme="minorHAnsi"/>
          <w:shd w:val="clear" w:color="auto" w:fill="F6F6F6"/>
        </w:rPr>
        <w:t xml:space="preserve"> is a financial guide and coach with her firm, DSS Consulting. She provides behavioral and financial decision-making strategies to clients, relying on her 25 years of experience in the financial industry. </w:t>
      </w:r>
    </w:p>
    <w:p w14:paraId="72660672" w14:textId="6A70BA5A" w:rsidR="00EA58D3" w:rsidRDefault="00EA58D3"/>
    <w:sectPr w:rsidR="00EA5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8D8D7" w14:textId="77777777" w:rsidR="002E77EF" w:rsidRDefault="002E77EF" w:rsidP="00BE1FB8">
      <w:pPr>
        <w:spacing w:after="0" w:line="240" w:lineRule="auto"/>
      </w:pPr>
      <w:r>
        <w:separator/>
      </w:r>
    </w:p>
  </w:endnote>
  <w:endnote w:type="continuationSeparator" w:id="0">
    <w:p w14:paraId="20FB2429" w14:textId="77777777" w:rsidR="002E77EF" w:rsidRDefault="002E77EF" w:rsidP="00BE1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80CFE" w14:textId="77777777" w:rsidR="002E77EF" w:rsidRDefault="002E77EF" w:rsidP="00BE1FB8">
      <w:pPr>
        <w:spacing w:after="0" w:line="240" w:lineRule="auto"/>
      </w:pPr>
      <w:r>
        <w:separator/>
      </w:r>
    </w:p>
  </w:footnote>
  <w:footnote w:type="continuationSeparator" w:id="0">
    <w:p w14:paraId="37A55E28" w14:textId="77777777" w:rsidR="002E77EF" w:rsidRDefault="002E77EF" w:rsidP="00BE1FB8">
      <w:pPr>
        <w:spacing w:after="0" w:line="240" w:lineRule="auto"/>
      </w:pPr>
      <w:r>
        <w:continuationSeparator/>
      </w:r>
    </w:p>
  </w:footnote>
  <w:footnote w:id="1">
    <w:p w14:paraId="56522E40" w14:textId="56DA0BE7" w:rsidR="00BE1FB8" w:rsidRDefault="00BE1F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DA1D65">
          <w:rPr>
            <w:rStyle w:val="Hyperlink"/>
          </w:rPr>
          <w:t>Woman and Financial Wellness: Beyond the bottom line</w:t>
        </w:r>
      </w:hyperlink>
    </w:p>
  </w:footnote>
  <w:footnote w:id="2">
    <w:p w14:paraId="1C1CC76B" w14:textId="419D62AB" w:rsidR="00F46730" w:rsidRDefault="00F4673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="00F92D2D">
          <w:rPr>
            <w:rStyle w:val="Hyperlink"/>
          </w:rPr>
          <w:t>Girls lack self-confidence in maths and science problems, study finds | Education | The Guardian</w:t>
        </w:r>
      </w:hyperlink>
    </w:p>
  </w:footnote>
  <w:footnote w:id="3">
    <w:p w14:paraId="170EEC93" w14:textId="42968452" w:rsidR="005E7B67" w:rsidRDefault="005E7B6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>
          <w:rPr>
            <w:rStyle w:val="Hyperlink"/>
          </w:rPr>
          <w:t>The STEM Gender Gap: Encouraging Girls to Persist in Science and Math | Edutopia</w:t>
        </w:r>
      </w:hyperlink>
    </w:p>
  </w:footnote>
  <w:footnote w:id="4">
    <w:p w14:paraId="6DE9A0C7" w14:textId="39B49E8D" w:rsidR="002E6609" w:rsidRDefault="002E660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="00CF48EA">
          <w:rPr>
            <w:rStyle w:val="Hyperlink"/>
          </w:rPr>
          <w:t>Learn personal finance for free with Finny (askfinny.com)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8D3"/>
    <w:rsid w:val="0002137F"/>
    <w:rsid w:val="00077723"/>
    <w:rsid w:val="00081208"/>
    <w:rsid w:val="00097657"/>
    <w:rsid w:val="000A2D23"/>
    <w:rsid w:val="000D0319"/>
    <w:rsid w:val="000D4CD7"/>
    <w:rsid w:val="001558B9"/>
    <w:rsid w:val="0016407A"/>
    <w:rsid w:val="001D2171"/>
    <w:rsid w:val="001F2647"/>
    <w:rsid w:val="00214878"/>
    <w:rsid w:val="002568DD"/>
    <w:rsid w:val="0028758D"/>
    <w:rsid w:val="002A4236"/>
    <w:rsid w:val="002D5F79"/>
    <w:rsid w:val="002E6609"/>
    <w:rsid w:val="002E77EF"/>
    <w:rsid w:val="00312DAC"/>
    <w:rsid w:val="00316F38"/>
    <w:rsid w:val="003226D8"/>
    <w:rsid w:val="003453EE"/>
    <w:rsid w:val="00370BBF"/>
    <w:rsid w:val="00387A61"/>
    <w:rsid w:val="0039548C"/>
    <w:rsid w:val="00396548"/>
    <w:rsid w:val="003D34A7"/>
    <w:rsid w:val="003F0573"/>
    <w:rsid w:val="004168CB"/>
    <w:rsid w:val="00417977"/>
    <w:rsid w:val="00447436"/>
    <w:rsid w:val="004847CA"/>
    <w:rsid w:val="004A298E"/>
    <w:rsid w:val="004A43B7"/>
    <w:rsid w:val="004A5648"/>
    <w:rsid w:val="004C4125"/>
    <w:rsid w:val="004C4D6B"/>
    <w:rsid w:val="004D5878"/>
    <w:rsid w:val="004D6A43"/>
    <w:rsid w:val="004F2AC0"/>
    <w:rsid w:val="005171C9"/>
    <w:rsid w:val="00531A77"/>
    <w:rsid w:val="005366AC"/>
    <w:rsid w:val="00544264"/>
    <w:rsid w:val="00575332"/>
    <w:rsid w:val="005A6507"/>
    <w:rsid w:val="005A681D"/>
    <w:rsid w:val="005B16B3"/>
    <w:rsid w:val="005C26B9"/>
    <w:rsid w:val="005D74E9"/>
    <w:rsid w:val="005E7B67"/>
    <w:rsid w:val="005F064F"/>
    <w:rsid w:val="00606050"/>
    <w:rsid w:val="006207AA"/>
    <w:rsid w:val="006356D5"/>
    <w:rsid w:val="00683247"/>
    <w:rsid w:val="006A2E06"/>
    <w:rsid w:val="006A3927"/>
    <w:rsid w:val="006B4034"/>
    <w:rsid w:val="006E1A9C"/>
    <w:rsid w:val="006E4F7E"/>
    <w:rsid w:val="006F7CDE"/>
    <w:rsid w:val="007106DB"/>
    <w:rsid w:val="00710B2C"/>
    <w:rsid w:val="007243FD"/>
    <w:rsid w:val="00782653"/>
    <w:rsid w:val="0078577D"/>
    <w:rsid w:val="007A5956"/>
    <w:rsid w:val="007C7DB5"/>
    <w:rsid w:val="007D202B"/>
    <w:rsid w:val="007D2AE7"/>
    <w:rsid w:val="00815C8F"/>
    <w:rsid w:val="00816C7A"/>
    <w:rsid w:val="00817F81"/>
    <w:rsid w:val="0082161B"/>
    <w:rsid w:val="008635E5"/>
    <w:rsid w:val="0086523A"/>
    <w:rsid w:val="00865656"/>
    <w:rsid w:val="00882AD3"/>
    <w:rsid w:val="00885F93"/>
    <w:rsid w:val="008B3D5E"/>
    <w:rsid w:val="008D5C74"/>
    <w:rsid w:val="008E5749"/>
    <w:rsid w:val="00901337"/>
    <w:rsid w:val="0095078B"/>
    <w:rsid w:val="0095511A"/>
    <w:rsid w:val="009831DE"/>
    <w:rsid w:val="00987C86"/>
    <w:rsid w:val="00991E6B"/>
    <w:rsid w:val="00993025"/>
    <w:rsid w:val="009948F9"/>
    <w:rsid w:val="00A05D33"/>
    <w:rsid w:val="00A15094"/>
    <w:rsid w:val="00A3679F"/>
    <w:rsid w:val="00A427CA"/>
    <w:rsid w:val="00A45387"/>
    <w:rsid w:val="00A55724"/>
    <w:rsid w:val="00A67B64"/>
    <w:rsid w:val="00A82620"/>
    <w:rsid w:val="00A8772A"/>
    <w:rsid w:val="00A938B8"/>
    <w:rsid w:val="00A94620"/>
    <w:rsid w:val="00B0595D"/>
    <w:rsid w:val="00B2628B"/>
    <w:rsid w:val="00B44A2D"/>
    <w:rsid w:val="00B46D1D"/>
    <w:rsid w:val="00B52866"/>
    <w:rsid w:val="00B5436D"/>
    <w:rsid w:val="00B74F23"/>
    <w:rsid w:val="00BE1FB8"/>
    <w:rsid w:val="00BE46ED"/>
    <w:rsid w:val="00BF1860"/>
    <w:rsid w:val="00BF2E63"/>
    <w:rsid w:val="00C25CA2"/>
    <w:rsid w:val="00C3136A"/>
    <w:rsid w:val="00C43C88"/>
    <w:rsid w:val="00C4750A"/>
    <w:rsid w:val="00C85D68"/>
    <w:rsid w:val="00CA02E5"/>
    <w:rsid w:val="00CB0F3C"/>
    <w:rsid w:val="00CE0AF0"/>
    <w:rsid w:val="00CF48EA"/>
    <w:rsid w:val="00D53091"/>
    <w:rsid w:val="00D5309E"/>
    <w:rsid w:val="00D733E8"/>
    <w:rsid w:val="00D75DCA"/>
    <w:rsid w:val="00D81636"/>
    <w:rsid w:val="00D843FA"/>
    <w:rsid w:val="00D849A6"/>
    <w:rsid w:val="00D955E6"/>
    <w:rsid w:val="00DA17CB"/>
    <w:rsid w:val="00DA1D65"/>
    <w:rsid w:val="00DD3AC3"/>
    <w:rsid w:val="00DE1D5C"/>
    <w:rsid w:val="00DF3FF7"/>
    <w:rsid w:val="00DF7116"/>
    <w:rsid w:val="00E11DB1"/>
    <w:rsid w:val="00E171D0"/>
    <w:rsid w:val="00E2398D"/>
    <w:rsid w:val="00E5168C"/>
    <w:rsid w:val="00E551FC"/>
    <w:rsid w:val="00E706EA"/>
    <w:rsid w:val="00E90ABF"/>
    <w:rsid w:val="00EA4E18"/>
    <w:rsid w:val="00EA58D3"/>
    <w:rsid w:val="00EB105E"/>
    <w:rsid w:val="00EB6FD7"/>
    <w:rsid w:val="00ED06C5"/>
    <w:rsid w:val="00ED2BAF"/>
    <w:rsid w:val="00ED6C39"/>
    <w:rsid w:val="00F270AD"/>
    <w:rsid w:val="00F46730"/>
    <w:rsid w:val="00F55A0B"/>
    <w:rsid w:val="00F92D2D"/>
    <w:rsid w:val="00FB2200"/>
    <w:rsid w:val="00FE1ABB"/>
    <w:rsid w:val="00FE4EE1"/>
    <w:rsid w:val="00FF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1D95A"/>
  <w15:chartTrackingRefBased/>
  <w15:docId w15:val="{5265EB0C-DB14-44CF-97E8-20EB1934B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38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6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1F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1F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1FB8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DA1D6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54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4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4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4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48C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938B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1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dutopia.org/article/keeping-girls-stem-3-barriers-3-solutions" TargetMode="External"/><Relationship Id="rId2" Type="http://schemas.openxmlformats.org/officeDocument/2006/relationships/hyperlink" Target="https://www.theguardian.com/education/2015/mar/05/girls-lack-self-confidence-maths-science-oecd-school-engineering" TargetMode="External"/><Relationship Id="rId1" Type="http://schemas.openxmlformats.org/officeDocument/2006/relationships/hyperlink" Target="https://mlaem.fs.ml.com/content/dam/ML/Registration/Women-Age-Wave-White-Paper.pdf" TargetMode="External"/><Relationship Id="rId4" Type="http://schemas.openxmlformats.org/officeDocument/2006/relationships/hyperlink" Target="https://www.askfinny.com/lear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B203B-ADDB-42B3-95B1-874DC9261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4030</Characters>
  <Application>Microsoft Office Word</Application>
  <DocSecurity>0</DocSecurity>
  <Lines>76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ilene slatko</dc:creator>
  <cp:keywords/>
  <dc:description/>
  <cp:lastModifiedBy>ilene slatko</cp:lastModifiedBy>
  <cp:revision>3</cp:revision>
  <dcterms:created xsi:type="dcterms:W3CDTF">2021-02-22T20:27:00Z</dcterms:created>
  <dcterms:modified xsi:type="dcterms:W3CDTF">2021-02-22T20:28:00Z</dcterms:modified>
</cp:coreProperties>
</file>